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ADA57" w14:textId="0F3AD687" w:rsidR="00402372" w:rsidRPr="009C3639" w:rsidRDefault="00494654" w:rsidP="004023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02372" w:rsidRPr="009C3639">
        <w:rPr>
          <w:rFonts w:ascii="Arial" w:hAnsi="Arial" w:cs="Arial"/>
          <w:sz w:val="20"/>
          <w:szCs w:val="20"/>
        </w:rPr>
        <w:t xml:space="preserve">. The </w:t>
      </w:r>
      <w:r w:rsidR="00402372">
        <w:rPr>
          <w:rFonts w:ascii="Arial" w:hAnsi="Arial" w:cs="Arial"/>
          <w:sz w:val="20"/>
          <w:szCs w:val="20"/>
        </w:rPr>
        <w:t>Turnip</w:t>
      </w:r>
      <w:r w:rsidR="00402372" w:rsidRPr="009C3639">
        <w:rPr>
          <w:rFonts w:ascii="Arial" w:hAnsi="Arial" w:cs="Arial"/>
          <w:sz w:val="20"/>
          <w:szCs w:val="20"/>
        </w:rPr>
        <w:t xml:space="preserve"> Company plans to issue preferred stock. Currently, t</w:t>
      </w:r>
      <w:r w:rsidR="00402372">
        <w:rPr>
          <w:rFonts w:ascii="Arial" w:hAnsi="Arial" w:cs="Arial"/>
          <w:sz w:val="20"/>
          <w:szCs w:val="20"/>
        </w:rPr>
        <w:t>he company’s stock sells for $11</w:t>
      </w:r>
      <w:r w:rsidR="00402372" w:rsidRPr="009C3639">
        <w:rPr>
          <w:rFonts w:ascii="Arial" w:hAnsi="Arial" w:cs="Arial"/>
          <w:sz w:val="20"/>
          <w:szCs w:val="20"/>
        </w:rPr>
        <w:t xml:space="preserve">0. Once new stock is issued, the </w:t>
      </w:r>
      <w:r w:rsidR="00402372">
        <w:rPr>
          <w:rFonts w:ascii="Arial" w:hAnsi="Arial" w:cs="Arial"/>
          <w:sz w:val="20"/>
          <w:szCs w:val="20"/>
        </w:rPr>
        <w:t>Turnip Company would receive only $90. The dividend rate is 8</w:t>
      </w:r>
      <w:r w:rsidR="00402372" w:rsidRPr="009C3639">
        <w:rPr>
          <w:rFonts w:ascii="Arial" w:hAnsi="Arial" w:cs="Arial"/>
          <w:sz w:val="20"/>
          <w:szCs w:val="20"/>
        </w:rPr>
        <w:t>%, and the par value of the stock is $100. Compute the cost of capital of the stock to your firm. Show all work.</w:t>
      </w:r>
    </w:p>
    <w:p w14:paraId="20E70231" w14:textId="31D110A0" w:rsidR="00402372" w:rsidRDefault="0019533F" w:rsidP="004023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Solution</w:t>
      </w:r>
    </w:p>
    <w:p w14:paraId="28A77897" w14:textId="3442DB26" w:rsidR="0019533F" w:rsidRPr="00BD67CB" w:rsidRDefault="0019533F" w:rsidP="0019533F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Cost of capital</m:t>
          </m:r>
          <m:r>
            <w:rPr>
              <w:rFonts w:ascii="Cambria Math" w:hAnsi="Cambria Math" w:cs="Arial"/>
              <w:sz w:val="20"/>
              <w:szCs w:val="20"/>
            </w:rPr>
            <m:t xml:space="preserve"> of Preferred stock</m:t>
          </m:r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Dividend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Price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*</m:t>
          </m:r>
          <m:r>
            <w:rPr>
              <w:rFonts w:ascii="Cambria Math" w:hAnsi="Cambria Math" w:cs="Arial"/>
              <w:sz w:val="20"/>
              <w:szCs w:val="20"/>
            </w:rPr>
            <m:t>100</m:t>
          </m:r>
        </m:oMath>
      </m:oMathPara>
    </w:p>
    <w:p w14:paraId="7B6EB513" w14:textId="7981DFE3" w:rsidR="0019533F" w:rsidRPr="00BD67CB" w:rsidRDefault="0019533F" w:rsidP="0019533F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Cost of capital of Preferred stock=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8%*100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110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*100</m:t>
          </m:r>
        </m:oMath>
      </m:oMathPara>
    </w:p>
    <w:p w14:paraId="3C77A41D" w14:textId="6B9575F0" w:rsidR="0019533F" w:rsidRPr="0019533F" w:rsidRDefault="0019533F" w:rsidP="0040237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Cost of capital of Preferred stock=7.27%</m:t>
          </m:r>
        </m:oMath>
      </m:oMathPara>
    </w:p>
    <w:p w14:paraId="594BE053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E4BFED" w14:textId="650C2978" w:rsidR="009C1CFD" w:rsidRDefault="00494654" w:rsidP="004023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02372" w:rsidRPr="009C3639">
        <w:rPr>
          <w:rFonts w:ascii="Arial" w:hAnsi="Arial" w:cs="Arial"/>
          <w:sz w:val="20"/>
          <w:szCs w:val="20"/>
        </w:rPr>
        <w:t xml:space="preserve">. The </w:t>
      </w:r>
      <w:r w:rsidR="00402372">
        <w:rPr>
          <w:rFonts w:ascii="Arial" w:hAnsi="Arial" w:cs="Arial"/>
          <w:sz w:val="20"/>
          <w:szCs w:val="20"/>
        </w:rPr>
        <w:t>Maximus</w:t>
      </w:r>
      <w:r w:rsidR="00402372" w:rsidRPr="009C3639">
        <w:rPr>
          <w:rFonts w:ascii="Arial" w:hAnsi="Arial" w:cs="Arial"/>
          <w:sz w:val="20"/>
          <w:szCs w:val="20"/>
        </w:rPr>
        <w:t xml:space="preserve"> Corporation is considering a new investment, which would be financed from debt. </w:t>
      </w:r>
      <w:r w:rsidR="00402372">
        <w:rPr>
          <w:rFonts w:ascii="Arial" w:hAnsi="Arial" w:cs="Arial"/>
          <w:sz w:val="20"/>
          <w:szCs w:val="20"/>
        </w:rPr>
        <w:t>Maximus could sell new $1,000</w:t>
      </w:r>
      <w:r w:rsidR="00402372" w:rsidRPr="009C3639">
        <w:rPr>
          <w:rFonts w:ascii="Arial" w:hAnsi="Arial" w:cs="Arial"/>
          <w:sz w:val="20"/>
          <w:szCs w:val="20"/>
        </w:rPr>
        <w:t xml:space="preserve"> par v</w:t>
      </w:r>
      <w:r w:rsidR="00402372">
        <w:rPr>
          <w:rFonts w:ascii="Arial" w:hAnsi="Arial" w:cs="Arial"/>
          <w:sz w:val="20"/>
          <w:szCs w:val="20"/>
        </w:rPr>
        <w:t>alue bonds at a new price of $920. The bonds would mature in 13</w:t>
      </w:r>
      <w:r w:rsidR="00402372" w:rsidRPr="009C3639">
        <w:rPr>
          <w:rFonts w:ascii="Arial" w:hAnsi="Arial" w:cs="Arial"/>
          <w:sz w:val="20"/>
          <w:szCs w:val="20"/>
        </w:rPr>
        <w:t xml:space="preserve"> years, and the coupon interest rate is 10%. Compute the after-tax cost of capital to </w:t>
      </w:r>
      <w:r w:rsidR="00402372">
        <w:rPr>
          <w:rFonts w:ascii="Arial" w:hAnsi="Arial" w:cs="Arial"/>
          <w:sz w:val="20"/>
          <w:szCs w:val="20"/>
        </w:rPr>
        <w:t>Maximus</w:t>
      </w:r>
      <w:r w:rsidR="00402372" w:rsidRPr="009C3639">
        <w:rPr>
          <w:rFonts w:ascii="Arial" w:hAnsi="Arial" w:cs="Arial"/>
          <w:sz w:val="20"/>
          <w:szCs w:val="20"/>
        </w:rPr>
        <w:t xml:space="preserve"> for bonds, assuming a 34% tax rate. Show work.</w:t>
      </w:r>
    </w:p>
    <w:p w14:paraId="1E9FDC27" w14:textId="4EF9186B" w:rsidR="009C1CFD" w:rsidRPr="009C1CFD" w:rsidRDefault="009C1CFD" w:rsidP="009C1CFD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C1CFD">
        <w:rPr>
          <w:rFonts w:ascii="Arial" w:hAnsi="Arial" w:cs="Arial"/>
          <w:b/>
          <w:bCs/>
          <w:sz w:val="20"/>
          <w:szCs w:val="20"/>
          <w:u w:val="single"/>
        </w:rPr>
        <w:t>Solution</w:t>
      </w:r>
    </w:p>
    <w:p w14:paraId="21C30AF6" w14:textId="77777777" w:rsidR="00402372" w:rsidRPr="009C3639" w:rsidRDefault="00402372" w:rsidP="009C1CF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28840A1" w14:textId="1C778A06" w:rsidR="00402372" w:rsidRPr="00BD67CB" w:rsidRDefault="00BD67CB" w:rsidP="009C1CFD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Cost of capital=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F-P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n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F+P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Arial"/>
              <w:sz w:val="20"/>
              <w:szCs w:val="20"/>
            </w:rPr>
            <m:t>*(1-T)</m:t>
          </m:r>
        </m:oMath>
      </m:oMathPara>
    </w:p>
    <w:p w14:paraId="444BBC8A" w14:textId="51B26B66" w:rsidR="00BD67CB" w:rsidRDefault="00BD67CB" w:rsidP="009C1CFD">
      <w:pPr>
        <w:spacing w:after="0" w:line="360" w:lineRule="auto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C</m:t>
        </m:r>
      </m:oMath>
      <w:r>
        <w:rPr>
          <w:rFonts w:ascii="Arial" w:hAnsi="Arial" w:cs="Arial"/>
          <w:sz w:val="20"/>
          <w:szCs w:val="20"/>
        </w:rPr>
        <w:t xml:space="preserve"> = Coupon payment (10%*$1,000)</w:t>
      </w:r>
    </w:p>
    <w:p w14:paraId="3D0B5E2B" w14:textId="6427E091" w:rsidR="00BD67CB" w:rsidRDefault="00BD67CB" w:rsidP="009C1CFD">
      <w:pPr>
        <w:spacing w:after="0" w:line="360" w:lineRule="auto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F</m:t>
        </m:r>
      </m:oMath>
      <w:r>
        <w:rPr>
          <w:rFonts w:ascii="Arial" w:hAnsi="Arial" w:cs="Arial"/>
          <w:sz w:val="20"/>
          <w:szCs w:val="20"/>
        </w:rPr>
        <w:t xml:space="preserve"> = </w:t>
      </w:r>
      <w:r>
        <w:rPr>
          <w:rFonts w:ascii="Arial" w:hAnsi="Arial" w:cs="Arial"/>
          <w:sz w:val="20"/>
          <w:szCs w:val="20"/>
        </w:rPr>
        <w:t>Face value ($1,000)</w:t>
      </w:r>
    </w:p>
    <w:p w14:paraId="0F888213" w14:textId="3FEC723D" w:rsidR="00BD67CB" w:rsidRDefault="00BD67CB" w:rsidP="009C1CFD">
      <w:pPr>
        <w:spacing w:after="0" w:line="360" w:lineRule="auto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P</m:t>
        </m:r>
      </m:oMath>
      <w:r>
        <w:rPr>
          <w:rFonts w:ascii="Arial" w:hAnsi="Arial" w:cs="Arial"/>
          <w:sz w:val="20"/>
          <w:szCs w:val="20"/>
        </w:rPr>
        <w:t xml:space="preserve"> = </w:t>
      </w:r>
      <w:r>
        <w:rPr>
          <w:rFonts w:ascii="Arial" w:hAnsi="Arial" w:cs="Arial"/>
          <w:sz w:val="20"/>
          <w:szCs w:val="20"/>
        </w:rPr>
        <w:t>Price ($920)</w:t>
      </w:r>
    </w:p>
    <w:p w14:paraId="13DDBF94" w14:textId="45492E35" w:rsidR="00BD67CB" w:rsidRPr="00BD67CB" w:rsidRDefault="00BD67CB" w:rsidP="009C1CFD">
      <w:pPr>
        <w:spacing w:after="0" w:line="360" w:lineRule="auto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n</m:t>
        </m:r>
      </m:oMath>
      <w:r>
        <w:rPr>
          <w:rFonts w:ascii="Arial" w:hAnsi="Arial" w:cs="Arial"/>
          <w:sz w:val="20"/>
          <w:szCs w:val="20"/>
        </w:rPr>
        <w:t xml:space="preserve"> = </w:t>
      </w:r>
      <w:r>
        <w:rPr>
          <w:rFonts w:ascii="Arial" w:hAnsi="Arial" w:cs="Arial"/>
          <w:sz w:val="20"/>
          <w:szCs w:val="20"/>
        </w:rPr>
        <w:t>Years to maturity (13 years)</w:t>
      </w:r>
    </w:p>
    <w:p w14:paraId="11A94492" w14:textId="300C181C" w:rsidR="00BD67CB" w:rsidRDefault="00BD67CB" w:rsidP="009C1CFD">
      <w:pPr>
        <w:spacing w:after="0" w:line="360" w:lineRule="auto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>
        <w:rPr>
          <w:rFonts w:ascii="Arial" w:hAnsi="Arial" w:cs="Arial"/>
          <w:sz w:val="20"/>
          <w:szCs w:val="20"/>
        </w:rPr>
        <w:t xml:space="preserve"> = </w:t>
      </w:r>
      <w:r>
        <w:rPr>
          <w:rFonts w:ascii="Arial" w:hAnsi="Arial" w:cs="Arial"/>
          <w:sz w:val="20"/>
          <w:szCs w:val="20"/>
        </w:rPr>
        <w:t>Tax rate (34%)</w:t>
      </w:r>
    </w:p>
    <w:p w14:paraId="0471B8F8" w14:textId="09865CBD" w:rsidR="00BD67CB" w:rsidRPr="00BD67CB" w:rsidRDefault="00BD67CB" w:rsidP="009C1CFD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Cost of capital=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100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1000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920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13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1000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920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Arial"/>
              <w:sz w:val="20"/>
              <w:szCs w:val="20"/>
            </w:rPr>
            <m:t>*(1-</m:t>
          </m:r>
          <m:r>
            <w:rPr>
              <w:rFonts w:ascii="Cambria Math" w:hAnsi="Cambria Math" w:cs="Arial"/>
              <w:sz w:val="20"/>
              <w:szCs w:val="20"/>
            </w:rPr>
            <m:t>0.34</m:t>
          </m:r>
          <m:r>
            <w:rPr>
              <w:rFonts w:ascii="Cambria Math" w:hAnsi="Cambria Math" w:cs="Arial"/>
              <w:sz w:val="20"/>
              <w:szCs w:val="20"/>
            </w:rPr>
            <m:t>)</m:t>
          </m:r>
        </m:oMath>
      </m:oMathPara>
    </w:p>
    <w:p w14:paraId="24E85DF5" w14:textId="0AAD6389" w:rsidR="00BD67CB" w:rsidRPr="00BD67CB" w:rsidRDefault="00BD67CB" w:rsidP="009C1CF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803C395" w14:textId="0F33E920" w:rsidR="00BD67CB" w:rsidRPr="00BD67CB" w:rsidRDefault="00BD67CB" w:rsidP="009C1CFD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Cost of capital=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100+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6.1538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960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*(</m:t>
          </m:r>
          <m:r>
            <w:rPr>
              <w:rFonts w:ascii="Cambria Math" w:hAnsi="Cambria Math" w:cs="Arial"/>
              <w:sz w:val="20"/>
              <w:szCs w:val="20"/>
            </w:rPr>
            <m:t>0.66</m:t>
          </m:r>
          <m:r>
            <w:rPr>
              <w:rFonts w:ascii="Cambria Math" w:hAnsi="Cambria Math" w:cs="Arial"/>
              <w:sz w:val="20"/>
              <w:szCs w:val="20"/>
            </w:rPr>
            <m:t>)</m:t>
          </m:r>
        </m:oMath>
      </m:oMathPara>
    </w:p>
    <w:p w14:paraId="3150A1CD" w14:textId="178AF268" w:rsidR="009C1CFD" w:rsidRPr="00BD67CB" w:rsidRDefault="009C1CFD" w:rsidP="009C1CFD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Cost of capital=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106.1538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960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*(0.66)</m:t>
          </m:r>
        </m:oMath>
      </m:oMathPara>
    </w:p>
    <w:p w14:paraId="7D5BF17D" w14:textId="670AE862" w:rsidR="009C1CFD" w:rsidRPr="009C3639" w:rsidRDefault="009C1CFD" w:rsidP="009C1CFD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Cost of capital=</m:t>
          </m:r>
          <m:r>
            <w:rPr>
              <w:rFonts w:ascii="Cambria Math" w:hAnsi="Cambria Math" w:cs="Arial"/>
              <w:sz w:val="20"/>
              <w:szCs w:val="20"/>
            </w:rPr>
            <m:t>0.1106</m:t>
          </m:r>
          <m:r>
            <w:rPr>
              <w:rFonts w:ascii="Cambria Math" w:hAnsi="Cambria Math" w:cs="Arial"/>
              <w:sz w:val="20"/>
              <w:szCs w:val="20"/>
            </w:rPr>
            <m:t>*0.66</m:t>
          </m:r>
        </m:oMath>
      </m:oMathPara>
    </w:p>
    <w:p w14:paraId="50244258" w14:textId="62026661" w:rsidR="00402372" w:rsidRPr="009C1CFD" w:rsidRDefault="009C1CFD" w:rsidP="009C1CFD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Cost of capital=0.</m:t>
          </m:r>
          <m:r>
            <w:rPr>
              <w:rFonts w:ascii="Cambria Math" w:hAnsi="Cambria Math" w:cs="Arial"/>
              <w:sz w:val="20"/>
              <w:szCs w:val="20"/>
            </w:rPr>
            <m:t>073</m:t>
          </m:r>
        </m:oMath>
      </m:oMathPara>
    </w:p>
    <w:p w14:paraId="3B19BDC2" w14:textId="6BC125B5" w:rsidR="00402372" w:rsidRPr="009C1CFD" w:rsidRDefault="0019533F" w:rsidP="009C1CFD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Cost of capital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</w:rPr>
            <m:t xml:space="preserve"> 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=7.3%</m:t>
          </m:r>
        </m:oMath>
      </m:oMathPara>
    </w:p>
    <w:p w14:paraId="65919BC2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B47042" w14:textId="39FF5FE9" w:rsidR="00402372" w:rsidRPr="009C3639" w:rsidRDefault="00494654" w:rsidP="004023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02372" w:rsidRPr="009C3639">
        <w:rPr>
          <w:rFonts w:ascii="Arial" w:hAnsi="Arial" w:cs="Arial"/>
          <w:sz w:val="20"/>
          <w:szCs w:val="20"/>
        </w:rPr>
        <w:t xml:space="preserve">. </w:t>
      </w:r>
      <w:r w:rsidR="00402372">
        <w:rPr>
          <w:rFonts w:ascii="Arial" w:hAnsi="Arial" w:cs="Arial"/>
          <w:sz w:val="20"/>
          <w:szCs w:val="20"/>
        </w:rPr>
        <w:t>Connor</w:t>
      </w:r>
      <w:r w:rsidR="00402372" w:rsidRPr="009C3639">
        <w:rPr>
          <w:rFonts w:ascii="Arial" w:hAnsi="Arial" w:cs="Arial"/>
          <w:sz w:val="20"/>
          <w:szCs w:val="20"/>
        </w:rPr>
        <w:t xml:space="preserve"> Corporation is considering two projects (see below). For your analysis, assume these projects are mutually exclusive with a </w:t>
      </w:r>
      <w:r w:rsidR="00402372">
        <w:rPr>
          <w:rFonts w:ascii="Arial" w:hAnsi="Arial" w:cs="Arial"/>
          <w:sz w:val="20"/>
          <w:szCs w:val="20"/>
        </w:rPr>
        <w:t>required rate of return of 10</w:t>
      </w:r>
      <w:r w:rsidR="00402372" w:rsidRPr="009C3639">
        <w:rPr>
          <w:rFonts w:ascii="Arial" w:hAnsi="Arial" w:cs="Arial"/>
          <w:sz w:val="20"/>
          <w:szCs w:val="20"/>
        </w:rPr>
        <w:t>%.</w:t>
      </w:r>
    </w:p>
    <w:p w14:paraId="164358B1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2632"/>
        <w:gridCol w:w="2790"/>
      </w:tblGrid>
      <w:tr w:rsidR="00402372" w:rsidRPr="009C3639" w14:paraId="1644E666" w14:textId="77777777" w:rsidTr="00075FAF">
        <w:tc>
          <w:tcPr>
            <w:tcW w:w="3123" w:type="dxa"/>
          </w:tcPr>
          <w:p w14:paraId="30AE2C92" w14:textId="77777777" w:rsidR="00402372" w:rsidRPr="009C3639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4F0A9F4" w14:textId="77777777" w:rsidR="00402372" w:rsidRPr="009C3639" w:rsidRDefault="00402372" w:rsidP="00075F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3639">
              <w:rPr>
                <w:rFonts w:ascii="Arial" w:hAnsi="Arial" w:cs="Arial"/>
                <w:b/>
                <w:sz w:val="20"/>
                <w:szCs w:val="20"/>
              </w:rPr>
              <w:t>Project 1</w:t>
            </w:r>
          </w:p>
        </w:tc>
        <w:tc>
          <w:tcPr>
            <w:tcW w:w="2790" w:type="dxa"/>
          </w:tcPr>
          <w:p w14:paraId="3FB4CDB8" w14:textId="77777777" w:rsidR="00402372" w:rsidRPr="009C3639" w:rsidRDefault="00402372" w:rsidP="00075F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3639">
              <w:rPr>
                <w:rFonts w:ascii="Arial" w:hAnsi="Arial" w:cs="Arial"/>
                <w:b/>
                <w:sz w:val="20"/>
                <w:szCs w:val="20"/>
              </w:rPr>
              <w:t>Project 2</w:t>
            </w:r>
          </w:p>
        </w:tc>
      </w:tr>
      <w:tr w:rsidR="00402372" w:rsidRPr="009C3639" w14:paraId="7CFE418B" w14:textId="77777777" w:rsidTr="00075FAF">
        <w:tc>
          <w:tcPr>
            <w:tcW w:w="3123" w:type="dxa"/>
          </w:tcPr>
          <w:p w14:paraId="6C478B0D" w14:textId="77777777" w:rsidR="00402372" w:rsidRPr="008B5411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411">
              <w:rPr>
                <w:rFonts w:ascii="Arial" w:hAnsi="Arial" w:cs="Arial"/>
                <w:sz w:val="20"/>
                <w:szCs w:val="20"/>
              </w:rPr>
              <w:t>Initial investment</w:t>
            </w:r>
          </w:p>
        </w:tc>
        <w:tc>
          <w:tcPr>
            <w:tcW w:w="2632" w:type="dxa"/>
          </w:tcPr>
          <w:p w14:paraId="0FAE742D" w14:textId="77777777" w:rsidR="00402372" w:rsidRPr="008B5411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411">
              <w:rPr>
                <w:rFonts w:ascii="Arial" w:hAnsi="Arial" w:cs="Arial"/>
                <w:sz w:val="20"/>
                <w:szCs w:val="20"/>
              </w:rPr>
              <w:t>$(465,000)</w:t>
            </w:r>
          </w:p>
        </w:tc>
        <w:tc>
          <w:tcPr>
            <w:tcW w:w="2790" w:type="dxa"/>
          </w:tcPr>
          <w:p w14:paraId="32AB9EF7" w14:textId="77777777" w:rsidR="00402372" w:rsidRPr="008B5411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5411">
              <w:rPr>
                <w:rFonts w:ascii="Arial" w:hAnsi="Arial" w:cs="Arial"/>
                <w:sz w:val="20"/>
                <w:szCs w:val="20"/>
              </w:rPr>
              <w:t>$(700,000)</w:t>
            </w:r>
          </w:p>
        </w:tc>
      </w:tr>
      <w:tr w:rsidR="00402372" w:rsidRPr="009C3639" w14:paraId="1FA8E9D3" w14:textId="77777777" w:rsidTr="00075FAF">
        <w:tc>
          <w:tcPr>
            <w:tcW w:w="3123" w:type="dxa"/>
          </w:tcPr>
          <w:p w14:paraId="41256D34" w14:textId="77777777" w:rsidR="00402372" w:rsidRPr="009C3639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Cash inflow Year 1</w:t>
            </w:r>
          </w:p>
        </w:tc>
        <w:tc>
          <w:tcPr>
            <w:tcW w:w="2632" w:type="dxa"/>
          </w:tcPr>
          <w:p w14:paraId="53DB3988" w14:textId="77777777" w:rsidR="00402372" w:rsidRPr="009C3639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$510</w:t>
            </w:r>
            <w:r w:rsidRPr="009C3639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2790" w:type="dxa"/>
          </w:tcPr>
          <w:p w14:paraId="1C3B07DA" w14:textId="77777777" w:rsidR="00402372" w:rsidRPr="009C3639" w:rsidRDefault="00402372" w:rsidP="00075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$850</w:t>
            </w:r>
            <w:r w:rsidRPr="009C3639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</w:tbl>
    <w:p w14:paraId="2E1EFCE6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D8D4B3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3639">
        <w:rPr>
          <w:rFonts w:ascii="Arial" w:hAnsi="Arial" w:cs="Arial"/>
          <w:sz w:val="20"/>
          <w:szCs w:val="20"/>
        </w:rPr>
        <w:t>Compute the following for each project:</w:t>
      </w:r>
    </w:p>
    <w:p w14:paraId="1A64CC5E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00F702" w14:textId="77777777" w:rsidR="00402372" w:rsidRPr="009C3639" w:rsidRDefault="00402372" w:rsidP="00402372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C3639">
        <w:rPr>
          <w:rFonts w:ascii="Arial" w:hAnsi="Arial" w:cs="Arial"/>
          <w:sz w:val="20"/>
          <w:szCs w:val="20"/>
        </w:rPr>
        <w:t>NPV (net present value)</w:t>
      </w:r>
    </w:p>
    <w:p w14:paraId="4810DECB" w14:textId="77777777" w:rsidR="00402372" w:rsidRPr="009C3639" w:rsidRDefault="00402372" w:rsidP="00402372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C3639">
        <w:rPr>
          <w:rFonts w:ascii="Arial" w:hAnsi="Arial" w:cs="Arial"/>
          <w:sz w:val="20"/>
          <w:szCs w:val="20"/>
        </w:rPr>
        <w:lastRenderedPageBreak/>
        <w:t xml:space="preserve">PI (profitability index) </w:t>
      </w:r>
    </w:p>
    <w:p w14:paraId="4A3FEE22" w14:textId="77777777" w:rsidR="00402372" w:rsidRPr="009C3639" w:rsidRDefault="00402372" w:rsidP="00402372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C3639">
        <w:rPr>
          <w:rFonts w:ascii="Arial" w:hAnsi="Arial" w:cs="Arial"/>
          <w:sz w:val="20"/>
          <w:szCs w:val="20"/>
        </w:rPr>
        <w:t>IRR (internal rate of return)</w:t>
      </w:r>
    </w:p>
    <w:p w14:paraId="119F66C5" w14:textId="77777777" w:rsidR="00402372" w:rsidRPr="009C363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239B1D" w14:textId="691488E4" w:rsidR="004D7719" w:rsidRDefault="00402372" w:rsidP="004023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Based on your analysis, </w:t>
      </w:r>
      <w:r w:rsidR="004D7719">
        <w:rPr>
          <w:rFonts w:ascii="Arial" w:hAnsi="Arial" w:cs="Arial"/>
          <w:sz w:val="20"/>
          <w:szCs w:val="20"/>
        </w:rPr>
        <w:t xml:space="preserve">answer the following </w:t>
      </w:r>
      <w:r w:rsidR="00E12F5B">
        <w:rPr>
          <w:rFonts w:ascii="Arial" w:hAnsi="Arial" w:cs="Arial"/>
          <w:sz w:val="20"/>
          <w:szCs w:val="20"/>
        </w:rPr>
        <w:t>questions:</w:t>
      </w:r>
    </w:p>
    <w:p w14:paraId="5AFC6AA2" w14:textId="77777777" w:rsidR="004D7719" w:rsidRDefault="004D7719" w:rsidP="004023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3653EE" w14:textId="45B8C0AE" w:rsidR="00402372" w:rsidRPr="004D7719" w:rsidRDefault="004D7719" w:rsidP="004D7719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4D7719">
        <w:rPr>
          <w:rFonts w:ascii="Arial" w:hAnsi="Arial" w:cs="Arial"/>
          <w:sz w:val="20"/>
          <w:szCs w:val="20"/>
        </w:rPr>
        <w:t>Which</w:t>
      </w:r>
      <w:r w:rsidR="00402372" w:rsidRPr="004D7719">
        <w:rPr>
          <w:rFonts w:ascii="Arial" w:hAnsi="Arial" w:cs="Arial"/>
          <w:sz w:val="20"/>
          <w:szCs w:val="20"/>
        </w:rPr>
        <w:t xml:space="preserve"> is the best choice? Why?</w:t>
      </w:r>
    </w:p>
    <w:p w14:paraId="256998B5" w14:textId="2A718708" w:rsidR="00402372" w:rsidRPr="004D7719" w:rsidRDefault="00402372" w:rsidP="004D7719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4D7719">
        <w:rPr>
          <w:rFonts w:ascii="Arial" w:hAnsi="Arial" w:cs="Arial"/>
          <w:sz w:val="20"/>
        </w:rPr>
        <w:t>Which project should be selected and why? If the projects had the same IRR amounts but different NPV totals, then how would you know which project to select? Explain.</w:t>
      </w:r>
    </w:p>
    <w:p w14:paraId="212A6F26" w14:textId="3AC0FD05" w:rsidR="00402372" w:rsidRPr="004D7719" w:rsidRDefault="00402372" w:rsidP="004D7719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4D7719">
        <w:rPr>
          <w:rFonts w:ascii="Arial" w:hAnsi="Arial" w:cs="Arial"/>
          <w:sz w:val="20"/>
        </w:rPr>
        <w:t xml:space="preserve">What would happen if both projects had negative NPV totals? Which project would you choose? What do negative NPVs indicate? Explain. </w:t>
      </w:r>
    </w:p>
    <w:p w14:paraId="5C8102E3" w14:textId="5DF8556E" w:rsidR="00402372" w:rsidRPr="004D7719" w:rsidRDefault="00402372" w:rsidP="004D7719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4D7719">
        <w:rPr>
          <w:rFonts w:ascii="Arial" w:hAnsi="Arial" w:cs="Arial"/>
          <w:sz w:val="20"/>
        </w:rPr>
        <w:t>Should we also use the payback method to assist us in project selection? Why or why not? Explain.</w:t>
      </w:r>
    </w:p>
    <w:p w14:paraId="0345B058" w14:textId="58BA1EE7" w:rsidR="00402372" w:rsidRPr="0019533F" w:rsidRDefault="00E12F5B" w:rsidP="00443128">
      <w:pPr>
        <w:pStyle w:val="ListParagraph"/>
        <w:ind w:left="0"/>
        <w:rPr>
          <w:rFonts w:ascii="Arial" w:hAnsi="Arial" w:cs="Arial"/>
          <w:b/>
          <w:bCs/>
          <w:sz w:val="20"/>
          <w:szCs w:val="20"/>
          <w:u w:val="single"/>
        </w:rPr>
      </w:pPr>
      <w:r w:rsidRPr="0019533F">
        <w:rPr>
          <w:rFonts w:ascii="Arial" w:hAnsi="Arial" w:cs="Arial"/>
          <w:b/>
          <w:bCs/>
          <w:sz w:val="20"/>
          <w:szCs w:val="20"/>
          <w:u w:val="single"/>
        </w:rPr>
        <w:t>Solution</w:t>
      </w:r>
    </w:p>
    <w:tbl>
      <w:tblPr>
        <w:tblW w:w="6595" w:type="dxa"/>
        <w:tblLook w:val="04A0" w:firstRow="1" w:lastRow="0" w:firstColumn="1" w:lastColumn="0" w:noHBand="0" w:noVBand="1"/>
      </w:tblPr>
      <w:tblGrid>
        <w:gridCol w:w="986"/>
        <w:gridCol w:w="1871"/>
        <w:gridCol w:w="1877"/>
        <w:gridCol w:w="1861"/>
      </w:tblGrid>
      <w:tr w:rsidR="00E12F5B" w:rsidRPr="00E12F5B" w14:paraId="7FE6F39B" w14:textId="77777777" w:rsidTr="00E12F5B">
        <w:trPr>
          <w:trHeight w:val="287"/>
        </w:trPr>
        <w:tc>
          <w:tcPr>
            <w:tcW w:w="65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AD8C2A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</w:rPr>
              <w:t>Project 1</w:t>
            </w:r>
          </w:p>
        </w:tc>
      </w:tr>
      <w:tr w:rsidR="00E12F5B" w:rsidRPr="00E12F5B" w14:paraId="21B5EA66" w14:textId="77777777" w:rsidTr="00E12F5B">
        <w:trPr>
          <w:trHeight w:val="273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8508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</w:rPr>
              <w:t>Years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6A56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</w:rPr>
              <w:t>Cash flows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2456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</w:rPr>
              <w:t>PVIF (10%)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2A879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</w:rPr>
              <w:t>PV</w:t>
            </w:r>
          </w:p>
        </w:tc>
      </w:tr>
      <w:tr w:rsidR="00E12F5B" w:rsidRPr="00E12F5B" w14:paraId="3EE78F74" w14:textId="77777777" w:rsidTr="00E12F5B">
        <w:trPr>
          <w:trHeight w:val="273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069F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EB1C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FF0000"/>
              </w:rPr>
              <w:t>($465,000)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79DA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74A3C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FF0000"/>
              </w:rPr>
              <w:t>($465,000)</w:t>
            </w:r>
          </w:p>
        </w:tc>
      </w:tr>
      <w:tr w:rsidR="00E12F5B" w:rsidRPr="00E12F5B" w14:paraId="1D1E4087" w14:textId="77777777" w:rsidTr="00E12F5B">
        <w:trPr>
          <w:trHeight w:val="287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1CB2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C468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 xml:space="preserve">$510,000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D19F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>0.9091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9CD1A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 xml:space="preserve">$463,636 </w:t>
            </w:r>
          </w:p>
        </w:tc>
      </w:tr>
      <w:tr w:rsidR="00E12F5B" w:rsidRPr="00E12F5B" w14:paraId="70DB43A9" w14:textId="77777777" w:rsidTr="00E12F5B">
        <w:trPr>
          <w:trHeight w:val="287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4C0B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80309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3D39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NPV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E7C16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FF0000"/>
                <w:highlight w:val="green"/>
              </w:rPr>
              <w:t>($1,364)</w:t>
            </w:r>
          </w:p>
        </w:tc>
      </w:tr>
      <w:tr w:rsidR="00E12F5B" w:rsidRPr="00E12F5B" w14:paraId="1DA6DE81" w14:textId="77777777" w:rsidTr="00E12F5B">
        <w:trPr>
          <w:trHeight w:val="287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AB59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400A" w14:textId="77777777" w:rsidR="00E12F5B" w:rsidRPr="00E12F5B" w:rsidRDefault="00E12F5B" w:rsidP="00E1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76C7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PI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FA482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0.9971</w:t>
            </w:r>
          </w:p>
        </w:tc>
      </w:tr>
      <w:tr w:rsidR="00E12F5B" w:rsidRPr="00E12F5B" w14:paraId="3E455BEF" w14:textId="77777777" w:rsidTr="00E12F5B">
        <w:trPr>
          <w:trHeight w:val="287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B516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C5A3" w14:textId="77777777" w:rsidR="00E12F5B" w:rsidRPr="00E12F5B" w:rsidRDefault="00E12F5B" w:rsidP="00E1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E457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IRR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7CD8D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-0.29%</w:t>
            </w:r>
          </w:p>
        </w:tc>
      </w:tr>
    </w:tbl>
    <w:p w14:paraId="1A5B9B39" w14:textId="475E981F" w:rsidR="00402372" w:rsidRDefault="00402372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tbl>
      <w:tblPr>
        <w:tblW w:w="6647" w:type="dxa"/>
        <w:tblLook w:val="04A0" w:firstRow="1" w:lastRow="0" w:firstColumn="1" w:lastColumn="0" w:noHBand="0" w:noVBand="1"/>
      </w:tblPr>
      <w:tblGrid>
        <w:gridCol w:w="994"/>
        <w:gridCol w:w="1886"/>
        <w:gridCol w:w="1891"/>
        <w:gridCol w:w="1876"/>
      </w:tblGrid>
      <w:tr w:rsidR="00E12F5B" w:rsidRPr="00E12F5B" w14:paraId="7A1EEEFB" w14:textId="77777777" w:rsidTr="00E12F5B">
        <w:trPr>
          <w:trHeight w:val="294"/>
        </w:trPr>
        <w:tc>
          <w:tcPr>
            <w:tcW w:w="6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DC00FF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</w:rPr>
              <w:t>Project 2</w:t>
            </w:r>
          </w:p>
        </w:tc>
      </w:tr>
      <w:tr w:rsidR="00E12F5B" w:rsidRPr="00E12F5B" w14:paraId="01E14AFA" w14:textId="77777777" w:rsidTr="00E12F5B">
        <w:trPr>
          <w:trHeight w:val="28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03CE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</w:rPr>
              <w:t>Years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A99C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</w:rPr>
              <w:t>Cash flows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B339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</w:rPr>
              <w:t>PVIF (10%)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0343F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</w:rPr>
              <w:t>PV</w:t>
            </w:r>
          </w:p>
        </w:tc>
      </w:tr>
      <w:tr w:rsidR="00E12F5B" w:rsidRPr="00E12F5B" w14:paraId="529A535C" w14:textId="77777777" w:rsidTr="00E12F5B">
        <w:trPr>
          <w:trHeight w:val="28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167D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7FB1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FF0000"/>
              </w:rPr>
              <w:t>($700,000)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A8AD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7ECF6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FF0000"/>
              </w:rPr>
              <w:t>($700,000)</w:t>
            </w:r>
          </w:p>
        </w:tc>
      </w:tr>
      <w:tr w:rsidR="00E12F5B" w:rsidRPr="00E12F5B" w14:paraId="543475D5" w14:textId="77777777" w:rsidTr="00E12F5B">
        <w:trPr>
          <w:trHeight w:val="29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E0E5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56F5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 xml:space="preserve">$850,000 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BD76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>0.9091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12425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 xml:space="preserve">$772,727 </w:t>
            </w:r>
          </w:p>
        </w:tc>
      </w:tr>
      <w:tr w:rsidR="00E12F5B" w:rsidRPr="00E12F5B" w14:paraId="7DD780DA" w14:textId="77777777" w:rsidTr="00E12F5B">
        <w:trPr>
          <w:trHeight w:val="29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56C6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2E76F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2F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70C1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NPV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37760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 xml:space="preserve">$72,727 </w:t>
            </w:r>
          </w:p>
        </w:tc>
      </w:tr>
      <w:tr w:rsidR="00E12F5B" w:rsidRPr="00E12F5B" w14:paraId="6FDE1015" w14:textId="77777777" w:rsidTr="00E12F5B">
        <w:trPr>
          <w:trHeight w:val="294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2960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1D38" w14:textId="77777777" w:rsidR="00E12F5B" w:rsidRPr="00E12F5B" w:rsidRDefault="00E12F5B" w:rsidP="00E1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C2E9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PI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E4F1E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1.1039</w:t>
            </w:r>
          </w:p>
        </w:tc>
      </w:tr>
      <w:tr w:rsidR="00E12F5B" w:rsidRPr="00E12F5B" w14:paraId="5D2CC78D" w14:textId="77777777" w:rsidTr="00E12F5B">
        <w:trPr>
          <w:trHeight w:val="294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DBD5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4AEE" w14:textId="77777777" w:rsidR="00E12F5B" w:rsidRPr="00E12F5B" w:rsidRDefault="00E12F5B" w:rsidP="00E1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4A0D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IRR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5BA66" w14:textId="77777777" w:rsidR="00E12F5B" w:rsidRPr="00E12F5B" w:rsidRDefault="00E12F5B" w:rsidP="00E12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E12F5B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10.39%</w:t>
            </w:r>
          </w:p>
        </w:tc>
      </w:tr>
    </w:tbl>
    <w:p w14:paraId="0E8A44A4" w14:textId="52C75A71" w:rsidR="00401C03" w:rsidRDefault="00401C03" w:rsidP="00C95B1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the above analysis, the best choice is to use NPV to determine the best project to invest in. since IRR do not reflect the realistic return of the projects.</w:t>
      </w:r>
    </w:p>
    <w:p w14:paraId="3351E6DF" w14:textId="38B44AE3" w:rsidR="00401C03" w:rsidRDefault="00401C03" w:rsidP="00C95B1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2 is the best project to invest in, considering it has a positive NPV of $72,727 and an internal rate of return of 10.39%, clearly indicating that the project will be profitable to the company.</w:t>
      </w:r>
      <w:r>
        <w:rPr>
          <w:rFonts w:ascii="Arial" w:hAnsi="Arial" w:cs="Arial"/>
          <w:sz w:val="20"/>
          <w:szCs w:val="20"/>
        </w:rPr>
        <w:t xml:space="preserve"> If the projects have the same IRR but different amounts of NPV, the project with higher positive NPV will be undertaken.</w:t>
      </w:r>
    </w:p>
    <w:p w14:paraId="44E57F50" w14:textId="6BC45FC7" w:rsidR="00401C03" w:rsidRDefault="00401C03" w:rsidP="00C95B1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Reject both projects. A project with negative NPV indicates that the project will result to net loss to the company, therefore any project with a negative NPV is not undertaken.</w:t>
      </w:r>
    </w:p>
    <w:p w14:paraId="679B4DB3" w14:textId="30455C9A" w:rsidR="00401C03" w:rsidRDefault="00C95B1B" w:rsidP="00C95B1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Payback period is the period required to recover the invested capital fully. Payback period technique can be used in project selection if the company wants a project with short period to recover the invested capital.</w:t>
      </w:r>
    </w:p>
    <w:p w14:paraId="0C957320" w14:textId="77777777" w:rsidR="00402372" w:rsidRPr="00677E86" w:rsidRDefault="00402372" w:rsidP="0044312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374A61C7" w14:textId="0D784985" w:rsidR="00C37ED5" w:rsidRPr="00677E86" w:rsidRDefault="00494654" w:rsidP="00677E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37ED5" w:rsidRPr="00677E86">
        <w:rPr>
          <w:rFonts w:ascii="Arial" w:hAnsi="Arial" w:cs="Arial"/>
          <w:sz w:val="20"/>
          <w:szCs w:val="20"/>
        </w:rPr>
        <w:t xml:space="preserve">. The capital structure for </w:t>
      </w:r>
      <w:r w:rsidR="006721B1">
        <w:rPr>
          <w:rFonts w:ascii="Arial" w:hAnsi="Arial" w:cs="Arial"/>
          <w:sz w:val="20"/>
          <w:szCs w:val="20"/>
        </w:rPr>
        <w:t>Magellan</w:t>
      </w:r>
      <w:r w:rsidR="00C37ED5" w:rsidRPr="00677E86">
        <w:rPr>
          <w:rFonts w:ascii="Arial" w:hAnsi="Arial" w:cs="Arial"/>
          <w:sz w:val="20"/>
          <w:szCs w:val="20"/>
        </w:rPr>
        <w:t xml:space="preserve"> Corporation is shown below. Currently, flotation costs are 13% of market value for a new bond issue and $3 per share for preferred stock. The dividends for common stock were $2.50 last year and have an estimated annual growth rate of 6%. </w:t>
      </w:r>
      <w:r w:rsidR="006721B1">
        <w:rPr>
          <w:rFonts w:ascii="Arial" w:hAnsi="Arial" w:cs="Arial"/>
          <w:sz w:val="20"/>
          <w:szCs w:val="20"/>
        </w:rPr>
        <w:t>Market prices are $1,02</w:t>
      </w:r>
      <w:r w:rsidR="00564910" w:rsidRPr="00677E86">
        <w:rPr>
          <w:rFonts w:ascii="Arial" w:hAnsi="Arial" w:cs="Arial"/>
          <w:sz w:val="20"/>
          <w:szCs w:val="20"/>
        </w:rPr>
        <w:t>0 for bonds, $20 for preferred stock, and $</w:t>
      </w:r>
      <w:r w:rsidR="006721B1">
        <w:rPr>
          <w:rFonts w:ascii="Arial" w:hAnsi="Arial" w:cs="Arial"/>
          <w:sz w:val="20"/>
          <w:szCs w:val="20"/>
        </w:rPr>
        <w:t>3</w:t>
      </w:r>
      <w:r w:rsidR="00564910" w:rsidRPr="00677E86">
        <w:rPr>
          <w:rFonts w:ascii="Arial" w:hAnsi="Arial" w:cs="Arial"/>
          <w:sz w:val="20"/>
          <w:szCs w:val="20"/>
        </w:rPr>
        <w:t>0 for common stock. Assume a 34% tax rate.</w:t>
      </w:r>
    </w:p>
    <w:p w14:paraId="11E625A7" w14:textId="77777777" w:rsidR="00C37ED5" w:rsidRPr="00677E86" w:rsidRDefault="00C37ED5" w:rsidP="00677E8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1977"/>
      </w:tblGrid>
      <w:tr w:rsidR="00C37ED5" w:rsidRPr="009C3639" w14:paraId="20050E0B" w14:textId="77777777" w:rsidTr="009E40CD">
        <w:tc>
          <w:tcPr>
            <w:tcW w:w="4678" w:type="dxa"/>
          </w:tcPr>
          <w:p w14:paraId="3B95DF04" w14:textId="77777777" w:rsidR="00C37ED5" w:rsidRPr="00677E86" w:rsidRDefault="00C37ED5" w:rsidP="00677E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E86">
              <w:rPr>
                <w:rFonts w:ascii="Arial" w:hAnsi="Arial" w:cs="Arial"/>
                <w:b/>
                <w:sz w:val="20"/>
                <w:szCs w:val="20"/>
              </w:rPr>
              <w:lastRenderedPageBreak/>
              <w:t>Financing Type</w:t>
            </w:r>
          </w:p>
        </w:tc>
        <w:tc>
          <w:tcPr>
            <w:tcW w:w="1977" w:type="dxa"/>
          </w:tcPr>
          <w:p w14:paraId="7F99807B" w14:textId="77777777" w:rsidR="00C37ED5" w:rsidRPr="00677E86" w:rsidRDefault="00C37ED5" w:rsidP="00677E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E86">
              <w:rPr>
                <w:rFonts w:ascii="Arial" w:hAnsi="Arial" w:cs="Arial"/>
                <w:b/>
                <w:sz w:val="20"/>
                <w:szCs w:val="20"/>
              </w:rPr>
              <w:t xml:space="preserve">% of Future </w:t>
            </w:r>
          </w:p>
          <w:p w14:paraId="3EE2DB54" w14:textId="77777777" w:rsidR="00C37ED5" w:rsidRPr="00677E86" w:rsidRDefault="00C37ED5" w:rsidP="00677E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E86">
              <w:rPr>
                <w:rFonts w:ascii="Arial" w:hAnsi="Arial" w:cs="Arial"/>
                <w:b/>
                <w:sz w:val="20"/>
                <w:szCs w:val="20"/>
              </w:rPr>
              <w:t>Financing</w:t>
            </w:r>
          </w:p>
        </w:tc>
      </w:tr>
      <w:tr w:rsidR="00C37ED5" w:rsidRPr="009C3639" w14:paraId="2033B832" w14:textId="77777777" w:rsidTr="009E40CD">
        <w:tc>
          <w:tcPr>
            <w:tcW w:w="4678" w:type="dxa"/>
          </w:tcPr>
          <w:p w14:paraId="7CF87E61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Bonds (8%, $1k par, 16 year maturity)</w:t>
            </w:r>
          </w:p>
        </w:tc>
        <w:tc>
          <w:tcPr>
            <w:tcW w:w="1977" w:type="dxa"/>
          </w:tcPr>
          <w:p w14:paraId="64154CE4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36%</w:t>
            </w:r>
          </w:p>
        </w:tc>
      </w:tr>
      <w:tr w:rsidR="00C37ED5" w:rsidRPr="009C3639" w14:paraId="494056AF" w14:textId="77777777" w:rsidTr="009E40CD">
        <w:tc>
          <w:tcPr>
            <w:tcW w:w="4678" w:type="dxa"/>
          </w:tcPr>
          <w:p w14:paraId="7B2E292E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Common equity</w:t>
            </w:r>
          </w:p>
        </w:tc>
        <w:tc>
          <w:tcPr>
            <w:tcW w:w="1977" w:type="dxa"/>
          </w:tcPr>
          <w:p w14:paraId="34EED3CE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45%</w:t>
            </w:r>
          </w:p>
        </w:tc>
      </w:tr>
      <w:tr w:rsidR="00C37ED5" w:rsidRPr="009C3639" w14:paraId="7AFFA9A5" w14:textId="77777777" w:rsidTr="009E40CD">
        <w:tc>
          <w:tcPr>
            <w:tcW w:w="4678" w:type="dxa"/>
          </w:tcPr>
          <w:p w14:paraId="444A510A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Preferred stock (5k shares outstanding, $50 par, $1.50 dividend)</w:t>
            </w:r>
          </w:p>
        </w:tc>
        <w:tc>
          <w:tcPr>
            <w:tcW w:w="1977" w:type="dxa"/>
          </w:tcPr>
          <w:p w14:paraId="7213C1D3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19%</w:t>
            </w:r>
          </w:p>
        </w:tc>
      </w:tr>
      <w:tr w:rsidR="00C37ED5" w:rsidRPr="009C3639" w14:paraId="0002BD7B" w14:textId="77777777" w:rsidTr="009E40CD">
        <w:tc>
          <w:tcPr>
            <w:tcW w:w="4678" w:type="dxa"/>
          </w:tcPr>
          <w:p w14:paraId="3D1C11A8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Total %</w:t>
            </w:r>
          </w:p>
        </w:tc>
        <w:tc>
          <w:tcPr>
            <w:tcW w:w="1977" w:type="dxa"/>
          </w:tcPr>
          <w:p w14:paraId="78DE3777" w14:textId="77777777" w:rsidR="00C37ED5" w:rsidRPr="009C3639" w:rsidRDefault="00C37ED5" w:rsidP="009C36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639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14:paraId="042BC4DF" w14:textId="77777777" w:rsidR="00C37ED5" w:rsidRPr="009C3639" w:rsidRDefault="00C37ED5" w:rsidP="009C36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2C406F" w14:textId="079748B4" w:rsidR="00C37ED5" w:rsidRPr="009C3639" w:rsidRDefault="00C37ED5" w:rsidP="009C36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3639">
        <w:rPr>
          <w:rFonts w:ascii="Arial" w:hAnsi="Arial" w:cs="Arial"/>
          <w:sz w:val="20"/>
          <w:szCs w:val="20"/>
        </w:rPr>
        <w:t>Compute the company’s WACC.</w:t>
      </w:r>
      <w:r w:rsidR="006721B1">
        <w:rPr>
          <w:rFonts w:ascii="Arial" w:hAnsi="Arial" w:cs="Arial"/>
          <w:sz w:val="20"/>
          <w:szCs w:val="20"/>
        </w:rPr>
        <w:t xml:space="preserve"> Is this WACC considered reasonable given the assumptions and other relevant information? Explain.</w:t>
      </w:r>
    </w:p>
    <w:p w14:paraId="27C37A18" w14:textId="1F19140D" w:rsidR="00C37ED5" w:rsidRPr="00366A03" w:rsidRDefault="00532FAE" w:rsidP="00366A03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366A03">
        <w:rPr>
          <w:rFonts w:ascii="Arial" w:hAnsi="Arial" w:cs="Arial"/>
          <w:b/>
          <w:bCs/>
          <w:sz w:val="20"/>
          <w:szCs w:val="20"/>
          <w:u w:val="single"/>
        </w:rPr>
        <w:t>Solution</w:t>
      </w:r>
    </w:p>
    <w:p w14:paraId="2022E721" w14:textId="04734539" w:rsidR="00532FAE" w:rsidRDefault="00532FAE" w:rsidP="00366A0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Floatation costs = 13% of new bonds issued</w:t>
      </w:r>
    </w:p>
    <w:p w14:paraId="5533467D" w14:textId="5935C82A" w:rsidR="00532FAE" w:rsidRDefault="00532FAE" w:rsidP="00366A0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Last year dividend (d) = $2.5 </w:t>
      </w:r>
    </w:p>
    <w:p w14:paraId="4E2564A0" w14:textId="77F91EEF" w:rsidR="00532FAE" w:rsidRDefault="00532FAE" w:rsidP="00366A0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Growth rate (g) = 6%</w:t>
      </w:r>
    </w:p>
    <w:p w14:paraId="78010538" w14:textId="52B55CB9" w:rsidR="00532FAE" w:rsidRDefault="00532FAE" w:rsidP="00366A0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Dividend for the current year</w:t>
      </w:r>
      <w:r w:rsidR="001718AF">
        <w:rPr>
          <w:rFonts w:ascii="Arial" w:hAnsi="Arial" w:cs="Arial"/>
          <w:sz w:val="20"/>
          <w:szCs w:val="20"/>
        </w:rPr>
        <w:t xml:space="preserve"> (D)</w:t>
      </w:r>
      <w:r>
        <w:rPr>
          <w:rFonts w:ascii="Arial" w:hAnsi="Arial" w:cs="Arial"/>
          <w:sz w:val="20"/>
          <w:szCs w:val="20"/>
        </w:rPr>
        <w:t xml:space="preserve"> = d*(1+g) = </w:t>
      </w:r>
      <w:r w:rsidR="001718AF">
        <w:rPr>
          <w:rFonts w:ascii="Arial" w:hAnsi="Arial" w:cs="Arial"/>
          <w:sz w:val="20"/>
          <w:szCs w:val="20"/>
        </w:rPr>
        <w:t>2.5*1.06 = $2.65</w:t>
      </w:r>
    </w:p>
    <w:p w14:paraId="38EBD793" w14:textId="5C1FD294" w:rsidR="001718AF" w:rsidRDefault="001718AF" w:rsidP="00366A0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Tax rate = 34%</w:t>
      </w:r>
    </w:p>
    <w:p w14:paraId="4BDE6563" w14:textId="26D4DEA6" w:rsidR="001718AF" w:rsidRDefault="001718AF" w:rsidP="00366A0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Market prices</w:t>
      </w:r>
    </w:p>
    <w:p w14:paraId="4F6E4BD6" w14:textId="12BE9000" w:rsidR="001718AF" w:rsidRDefault="001718AF" w:rsidP="00366A0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Bond = $1020</w:t>
      </w:r>
    </w:p>
    <w:p w14:paraId="33A6FC0F" w14:textId="38EE1D81" w:rsidR="001718AF" w:rsidRDefault="001718AF" w:rsidP="00366A0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Preference shares = $20</w:t>
      </w:r>
    </w:p>
    <w:p w14:paraId="21EEB54F" w14:textId="11A7A30C" w:rsidR="001718AF" w:rsidRDefault="001718AF" w:rsidP="00366A0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Equity = $30</w:t>
      </w:r>
    </w:p>
    <w:p w14:paraId="108A4D7E" w14:textId="77777777" w:rsidR="001718AF" w:rsidRPr="009C3639" w:rsidRDefault="001718AF" w:rsidP="00366A0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41AD932" w14:textId="1444BF0C" w:rsidR="001718AF" w:rsidRPr="00BD67CB" w:rsidRDefault="001718AF" w:rsidP="001718AF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 xml:space="preserve">Cost of </m:t>
          </m:r>
          <m:r>
            <w:rPr>
              <w:rFonts w:ascii="Cambria Math" w:hAnsi="Cambria Math" w:cs="Arial"/>
              <w:sz w:val="20"/>
              <w:szCs w:val="20"/>
            </w:rPr>
            <m:t>Equity (Ke)</m:t>
          </m:r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D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P-F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+g</m:t>
          </m:r>
        </m:oMath>
      </m:oMathPara>
    </w:p>
    <w:p w14:paraId="43409CCA" w14:textId="7C9C67EF" w:rsidR="001718AF" w:rsidRPr="009C3639" w:rsidRDefault="001718AF" w:rsidP="001718AF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Cost of Equity=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2.65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30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-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0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+</m:t>
          </m:r>
          <m:r>
            <w:rPr>
              <w:rFonts w:ascii="Cambria Math" w:hAnsi="Cambria Math" w:cs="Arial"/>
              <w:sz w:val="20"/>
              <w:szCs w:val="20"/>
            </w:rPr>
            <m:t>0.06</m:t>
          </m:r>
        </m:oMath>
      </m:oMathPara>
    </w:p>
    <w:p w14:paraId="16B3FB83" w14:textId="47CACEC8" w:rsidR="00C37ED5" w:rsidRPr="001718AF" w:rsidRDefault="001718AF" w:rsidP="009C363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Ke=14.83%</m:t>
          </m:r>
        </m:oMath>
      </m:oMathPara>
    </w:p>
    <w:p w14:paraId="6FFAE554" w14:textId="073CAC26" w:rsidR="00564910" w:rsidRPr="009C3639" w:rsidRDefault="00564910" w:rsidP="009C36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E4C6C5" w14:textId="08008E55" w:rsidR="001718AF" w:rsidRPr="00BD67CB" w:rsidRDefault="001718AF" w:rsidP="001718AF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 xml:space="preserve">Cost of </m:t>
          </m:r>
          <m:r>
            <w:rPr>
              <w:rFonts w:ascii="Cambria Math" w:hAnsi="Cambria Math" w:cs="Arial"/>
              <w:sz w:val="20"/>
              <w:szCs w:val="20"/>
            </w:rPr>
            <m:t>debentures</m:t>
          </m:r>
          <m:r>
            <w:rPr>
              <w:rFonts w:ascii="Cambria Math" w:hAnsi="Cambria Math" w:cs="Arial"/>
              <w:sz w:val="20"/>
              <w:szCs w:val="20"/>
            </w:rPr>
            <m:t xml:space="preserve"> (K</m:t>
          </m:r>
          <m:r>
            <w:rPr>
              <w:rFonts w:ascii="Cambria Math" w:hAnsi="Cambria Math" w:cs="Arial"/>
              <w:sz w:val="20"/>
              <w:szCs w:val="20"/>
            </w:rPr>
            <m:t>d</m:t>
          </m:r>
          <m:r>
            <w:rPr>
              <w:rFonts w:ascii="Cambria Math" w:hAnsi="Cambria Math" w:cs="Arial"/>
              <w:sz w:val="20"/>
              <w:szCs w:val="20"/>
            </w:rPr>
            <m:t>)=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F-P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n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F+P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Arial"/>
              <w:sz w:val="20"/>
              <w:szCs w:val="20"/>
            </w:rPr>
            <m:t>(1-T)</m:t>
          </m:r>
        </m:oMath>
      </m:oMathPara>
    </w:p>
    <w:p w14:paraId="329089A6" w14:textId="6C6ADE8A" w:rsidR="001718AF" w:rsidRPr="00BD67CB" w:rsidRDefault="001718AF" w:rsidP="001718AF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Cost of debentures (Kd)=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8%*1000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1000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1000*87%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16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1000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870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Arial"/>
              <w:sz w:val="20"/>
              <w:szCs w:val="20"/>
            </w:rPr>
            <m:t>(1-</m:t>
          </m:r>
          <m:r>
            <w:rPr>
              <w:rFonts w:ascii="Cambria Math" w:hAnsi="Cambria Math" w:cs="Arial"/>
              <w:sz w:val="20"/>
              <w:szCs w:val="20"/>
            </w:rPr>
            <m:t>0.34</m:t>
          </m:r>
          <m:r>
            <w:rPr>
              <w:rFonts w:ascii="Cambria Math" w:hAnsi="Cambria Math" w:cs="Arial"/>
              <w:sz w:val="20"/>
              <w:szCs w:val="20"/>
            </w:rPr>
            <m:t>)</m:t>
          </m:r>
        </m:oMath>
      </m:oMathPara>
    </w:p>
    <w:p w14:paraId="3DA4DF2F" w14:textId="7557B0DE" w:rsidR="00564910" w:rsidRPr="009C3639" w:rsidRDefault="00000806" w:rsidP="009C3639">
      <w:pPr>
        <w:spacing w:after="0" w:line="24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</m:t>
          </m:r>
          <m:r>
            <w:rPr>
              <w:rFonts w:ascii="Cambria Math" w:hAnsi="Cambria Math" w:cs="Arial"/>
              <w:sz w:val="20"/>
              <w:szCs w:val="20"/>
            </w:rPr>
            <m:t>ost of debentures (Kd)=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60.925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935</m:t>
              </m:r>
            </m:den>
          </m:f>
        </m:oMath>
      </m:oMathPara>
    </w:p>
    <w:p w14:paraId="234875D5" w14:textId="119CBBE8" w:rsidR="00000806" w:rsidRPr="001718AF" w:rsidRDefault="00000806" w:rsidP="0000080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K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d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=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6.52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%</m:t>
          </m:r>
        </m:oMath>
      </m:oMathPara>
    </w:p>
    <w:p w14:paraId="1A0612F3" w14:textId="2F7093ED" w:rsidR="00C37ED5" w:rsidRPr="009C3639" w:rsidRDefault="00C37ED5" w:rsidP="009C36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5229DE" w14:textId="0BFD5B7A" w:rsidR="00000806" w:rsidRPr="00000806" w:rsidRDefault="00000806" w:rsidP="00000806">
      <w:pPr>
        <w:spacing w:after="0" w:line="36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 xml:space="preserve">Cost of </m:t>
          </m:r>
          <m:r>
            <w:rPr>
              <w:rFonts w:ascii="Cambria Math" w:hAnsi="Cambria Math" w:cs="Arial"/>
              <w:sz w:val="20"/>
              <w:szCs w:val="20"/>
            </w:rPr>
            <m:t>Preference shares</m:t>
          </m:r>
          <m:r>
            <w:rPr>
              <w:rFonts w:ascii="Cambria Math" w:hAnsi="Cambria Math" w:cs="Arial"/>
              <w:sz w:val="20"/>
              <w:szCs w:val="20"/>
            </w:rPr>
            <m:t xml:space="preserve"> </m:t>
          </m:r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K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p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Preference Div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Po</m:t>
              </m:r>
            </m:den>
          </m:f>
        </m:oMath>
      </m:oMathPara>
    </w:p>
    <w:p w14:paraId="7A1C75B5" w14:textId="52CE5BB9" w:rsidR="00617C4A" w:rsidRPr="00366A03" w:rsidRDefault="00000806" w:rsidP="009C3639">
      <w:pPr>
        <w:spacing w:after="0" w:line="240" w:lineRule="auto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 xml:space="preserve">Cost of Preference shares </m:t>
          </m:r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Kp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1.5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20-3</m:t>
              </m:r>
            </m:den>
          </m:f>
        </m:oMath>
      </m:oMathPara>
    </w:p>
    <w:p w14:paraId="42EEDFB8" w14:textId="5E6CF240" w:rsidR="00366A03" w:rsidRPr="001718AF" w:rsidRDefault="00366A03" w:rsidP="00366A0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K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p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=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8.82</m:t>
          </m:r>
          <m:r>
            <m:rPr>
              <m:sty m:val="bi"/>
            </m:rPr>
            <w:rPr>
              <w:rFonts w:ascii="Cambria Math" w:hAnsi="Cambria Math" w:cs="Arial"/>
              <w:sz w:val="20"/>
              <w:szCs w:val="20"/>
              <w:highlight w:val="green"/>
            </w:rPr>
            <m:t>%</m:t>
          </m:r>
        </m:oMath>
      </m:oMathPara>
    </w:p>
    <w:tbl>
      <w:tblPr>
        <w:tblW w:w="9340" w:type="dxa"/>
        <w:tblLook w:val="04A0" w:firstRow="1" w:lastRow="0" w:firstColumn="1" w:lastColumn="0" w:noHBand="0" w:noVBand="1"/>
      </w:tblPr>
      <w:tblGrid>
        <w:gridCol w:w="4040"/>
        <w:gridCol w:w="2620"/>
        <w:gridCol w:w="960"/>
        <w:gridCol w:w="1720"/>
      </w:tblGrid>
      <w:tr w:rsidR="00366A03" w:rsidRPr="00366A03" w14:paraId="1588781F" w14:textId="77777777" w:rsidTr="00366A03">
        <w:trPr>
          <w:trHeight w:val="51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1BAA2" w14:textId="77777777" w:rsidR="00366A03" w:rsidRPr="00366A03" w:rsidRDefault="00366A03" w:rsidP="00366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Financing Type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A97A" w14:textId="77777777" w:rsidR="00366A03" w:rsidRPr="00366A03" w:rsidRDefault="00366A03" w:rsidP="00366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 of Future Financing (A)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F71E2" w14:textId="77777777" w:rsidR="00366A03" w:rsidRPr="00366A03" w:rsidRDefault="00366A03" w:rsidP="00366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COC (B)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0A64C" w14:textId="77777777" w:rsidR="00366A03" w:rsidRPr="00366A03" w:rsidRDefault="00366A03" w:rsidP="00366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WACC = A*B</w:t>
            </w:r>
          </w:p>
        </w:tc>
      </w:tr>
      <w:tr w:rsidR="00366A03" w:rsidRPr="00366A03" w14:paraId="174814AF" w14:textId="77777777" w:rsidTr="00366A03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4EDD1" w14:textId="29B2B204" w:rsidR="00366A03" w:rsidRPr="00366A03" w:rsidRDefault="00366A03" w:rsidP="00366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Bonds (8%, $1k par, </w:t>
            </w: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16-year</w:t>
            </w: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maturity)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43960" w14:textId="77777777" w:rsidR="00366A03" w:rsidRPr="00366A03" w:rsidRDefault="00366A03" w:rsidP="00366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9F888" w14:textId="77777777" w:rsidR="00366A03" w:rsidRPr="00366A03" w:rsidRDefault="00366A03" w:rsidP="00366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6.52%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05F62" w14:textId="77777777" w:rsidR="00366A03" w:rsidRPr="00366A03" w:rsidRDefault="00366A03" w:rsidP="00366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2.35%</w:t>
            </w:r>
          </w:p>
        </w:tc>
      </w:tr>
      <w:tr w:rsidR="00366A03" w:rsidRPr="00366A03" w14:paraId="15F13554" w14:textId="77777777" w:rsidTr="00366A03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E4E7F" w14:textId="77777777" w:rsidR="00366A03" w:rsidRPr="00366A03" w:rsidRDefault="00366A03" w:rsidP="00366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Common equity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63E92" w14:textId="77777777" w:rsidR="00366A03" w:rsidRPr="00366A03" w:rsidRDefault="00366A03" w:rsidP="00366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B381D" w14:textId="77777777" w:rsidR="00366A03" w:rsidRPr="00366A03" w:rsidRDefault="00366A03" w:rsidP="00366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14.83%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4788A" w14:textId="77777777" w:rsidR="00366A03" w:rsidRPr="00366A03" w:rsidRDefault="00366A03" w:rsidP="00366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6.67%</w:t>
            </w:r>
          </w:p>
        </w:tc>
      </w:tr>
      <w:tr w:rsidR="00366A03" w:rsidRPr="00366A03" w14:paraId="4F27E6DC" w14:textId="77777777" w:rsidTr="00366A03">
        <w:trPr>
          <w:trHeight w:val="525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7A045" w14:textId="77777777" w:rsidR="00366A03" w:rsidRPr="00366A03" w:rsidRDefault="00366A03" w:rsidP="00366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Preferred stock (5k shares outstanding, $50 par, $1.50 dividend)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C5F38" w14:textId="77777777" w:rsidR="00366A03" w:rsidRPr="00366A03" w:rsidRDefault="00366A03" w:rsidP="00366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AD40" w14:textId="77777777" w:rsidR="00366A03" w:rsidRPr="00366A03" w:rsidRDefault="00366A03" w:rsidP="00366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8.82%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C5C26" w14:textId="77777777" w:rsidR="00366A03" w:rsidRPr="00366A03" w:rsidRDefault="00366A03" w:rsidP="00366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1.68%</w:t>
            </w:r>
          </w:p>
        </w:tc>
      </w:tr>
      <w:tr w:rsidR="00366A03" w:rsidRPr="00366A03" w14:paraId="5CE4D9B7" w14:textId="77777777" w:rsidTr="00366A03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06395" w14:textId="77777777" w:rsidR="00366A03" w:rsidRPr="00366A03" w:rsidRDefault="00366A03" w:rsidP="00366A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926EA" w14:textId="77777777" w:rsidR="00366A03" w:rsidRPr="00366A03" w:rsidRDefault="00366A03" w:rsidP="00366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6CC68" w14:textId="3134A87B" w:rsidR="00366A03" w:rsidRPr="00366A03" w:rsidRDefault="00366A03" w:rsidP="00366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C6CC0" w14:textId="77777777" w:rsidR="00366A03" w:rsidRPr="00366A03" w:rsidRDefault="00366A03" w:rsidP="00366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6A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10.70%</w:t>
            </w:r>
          </w:p>
        </w:tc>
      </w:tr>
    </w:tbl>
    <w:p w14:paraId="51A1B022" w14:textId="4C304DC0" w:rsidR="00366A03" w:rsidRDefault="00366A03" w:rsidP="009C36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239B22" w14:textId="5A9D9C3F" w:rsidR="00366A03" w:rsidRPr="00366A03" w:rsidRDefault="00366A03" w:rsidP="009C3639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366A03">
        <w:rPr>
          <w:rFonts w:ascii="Arial" w:hAnsi="Arial" w:cs="Arial"/>
          <w:b/>
          <w:bCs/>
          <w:sz w:val="20"/>
          <w:szCs w:val="20"/>
          <w:highlight w:val="green"/>
        </w:rPr>
        <w:t>Therefore WACC = 10.70%</w:t>
      </w:r>
    </w:p>
    <w:sectPr w:rsidR="00366A03" w:rsidRPr="00366A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ECC16" w14:textId="77777777" w:rsidR="00D85BCA" w:rsidRDefault="00D85BCA" w:rsidP="00FA44A3">
      <w:pPr>
        <w:spacing w:after="0" w:line="240" w:lineRule="auto"/>
      </w:pPr>
      <w:r>
        <w:separator/>
      </w:r>
    </w:p>
  </w:endnote>
  <w:endnote w:type="continuationSeparator" w:id="0">
    <w:p w14:paraId="6F3DBA53" w14:textId="77777777" w:rsidR="00D85BCA" w:rsidRDefault="00D85BCA" w:rsidP="00FA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94D7A" w14:textId="77777777" w:rsidR="00D85BCA" w:rsidRDefault="00D85BCA" w:rsidP="00FA44A3">
      <w:pPr>
        <w:spacing w:after="0" w:line="240" w:lineRule="auto"/>
      </w:pPr>
      <w:r>
        <w:separator/>
      </w:r>
    </w:p>
  </w:footnote>
  <w:footnote w:type="continuationSeparator" w:id="0">
    <w:p w14:paraId="0E5AAC92" w14:textId="77777777" w:rsidR="00D85BCA" w:rsidRDefault="00D85BCA" w:rsidP="00FA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8EB26" w14:textId="2DC2106C" w:rsidR="00FA44A3" w:rsidRDefault="00FA44A3">
    <w:pPr>
      <w:pStyle w:val="Header"/>
    </w:pPr>
    <w:r>
      <w:tab/>
    </w:r>
    <w:r w:rsidR="00C37ED5">
      <w:t>Financial Management</w:t>
    </w:r>
  </w:p>
  <w:p w14:paraId="4971E7F2" w14:textId="08FCD3E8" w:rsidR="00FA44A3" w:rsidRDefault="00FA44A3">
    <w:pPr>
      <w:pStyle w:val="Header"/>
    </w:pPr>
    <w:r>
      <w:tab/>
      <w:t xml:space="preserve">Unit </w:t>
    </w:r>
    <w:r w:rsidR="00C37ED5">
      <w:t>V</w:t>
    </w:r>
    <w:r>
      <w:t>I</w:t>
    </w:r>
    <w:r w:rsidR="00BA1861">
      <w:t>I</w:t>
    </w:r>
    <w:r w:rsidR="00C13205">
      <w:t>I</w:t>
    </w:r>
    <w:r>
      <w:t xml:space="preserve">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6F41"/>
    <w:multiLevelType w:val="hybridMultilevel"/>
    <w:tmpl w:val="E4CAA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E04C2"/>
    <w:multiLevelType w:val="hybridMultilevel"/>
    <w:tmpl w:val="C842209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B40DA"/>
    <w:multiLevelType w:val="hybridMultilevel"/>
    <w:tmpl w:val="6258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502B"/>
    <w:multiLevelType w:val="hybridMultilevel"/>
    <w:tmpl w:val="EF88C3C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848C0"/>
    <w:multiLevelType w:val="hybridMultilevel"/>
    <w:tmpl w:val="221E523C"/>
    <w:lvl w:ilvl="0" w:tplc="14346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420D7"/>
    <w:multiLevelType w:val="hybridMultilevel"/>
    <w:tmpl w:val="3A2635C6"/>
    <w:lvl w:ilvl="0" w:tplc="80DC0E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F2121"/>
    <w:multiLevelType w:val="hybridMultilevel"/>
    <w:tmpl w:val="01E61B4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B1EFB"/>
    <w:multiLevelType w:val="hybridMultilevel"/>
    <w:tmpl w:val="6024C49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6C4A59"/>
    <w:multiLevelType w:val="hybridMultilevel"/>
    <w:tmpl w:val="07827E4E"/>
    <w:lvl w:ilvl="0" w:tplc="02A4A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74885"/>
    <w:multiLevelType w:val="hybridMultilevel"/>
    <w:tmpl w:val="DB2A6B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B96292"/>
    <w:multiLevelType w:val="hybridMultilevel"/>
    <w:tmpl w:val="7B8AF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E364F"/>
    <w:multiLevelType w:val="hybridMultilevel"/>
    <w:tmpl w:val="C3C26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0764C"/>
    <w:multiLevelType w:val="hybridMultilevel"/>
    <w:tmpl w:val="26108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93ED2"/>
    <w:multiLevelType w:val="hybridMultilevel"/>
    <w:tmpl w:val="F99ED31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3504A6"/>
    <w:multiLevelType w:val="hybridMultilevel"/>
    <w:tmpl w:val="5D00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4666"/>
    <w:multiLevelType w:val="hybridMultilevel"/>
    <w:tmpl w:val="950C8FD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61153"/>
    <w:multiLevelType w:val="hybridMultilevel"/>
    <w:tmpl w:val="59488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90F65"/>
    <w:multiLevelType w:val="hybridMultilevel"/>
    <w:tmpl w:val="886C2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163C3"/>
    <w:multiLevelType w:val="hybridMultilevel"/>
    <w:tmpl w:val="E9D4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42058"/>
    <w:multiLevelType w:val="hybridMultilevel"/>
    <w:tmpl w:val="2536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9"/>
  </w:num>
  <w:num w:numId="5">
    <w:abstractNumId w:val="13"/>
  </w:num>
  <w:num w:numId="6">
    <w:abstractNumId w:val="14"/>
  </w:num>
  <w:num w:numId="7">
    <w:abstractNumId w:val="16"/>
  </w:num>
  <w:num w:numId="8">
    <w:abstractNumId w:val="6"/>
  </w:num>
  <w:num w:numId="9">
    <w:abstractNumId w:val="15"/>
  </w:num>
  <w:num w:numId="10">
    <w:abstractNumId w:val="7"/>
  </w:num>
  <w:num w:numId="11">
    <w:abstractNumId w:val="0"/>
  </w:num>
  <w:num w:numId="12">
    <w:abstractNumId w:val="3"/>
  </w:num>
  <w:num w:numId="13">
    <w:abstractNumId w:val="4"/>
  </w:num>
  <w:num w:numId="14">
    <w:abstractNumId w:val="12"/>
  </w:num>
  <w:num w:numId="15">
    <w:abstractNumId w:val="8"/>
  </w:num>
  <w:num w:numId="16">
    <w:abstractNumId w:val="19"/>
  </w:num>
  <w:num w:numId="17">
    <w:abstractNumId w:val="10"/>
  </w:num>
  <w:num w:numId="18">
    <w:abstractNumId w:val="2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C2"/>
    <w:rsid w:val="00000806"/>
    <w:rsid w:val="00066B75"/>
    <w:rsid w:val="00081343"/>
    <w:rsid w:val="00090098"/>
    <w:rsid w:val="000C55F8"/>
    <w:rsid w:val="000F0418"/>
    <w:rsid w:val="001718AF"/>
    <w:rsid w:val="0019533F"/>
    <w:rsid w:val="001E3149"/>
    <w:rsid w:val="002307C2"/>
    <w:rsid w:val="0030053F"/>
    <w:rsid w:val="00366A03"/>
    <w:rsid w:val="003D6CD3"/>
    <w:rsid w:val="00401C03"/>
    <w:rsid w:val="00402372"/>
    <w:rsid w:val="00443128"/>
    <w:rsid w:val="00494654"/>
    <w:rsid w:val="004D7719"/>
    <w:rsid w:val="00510067"/>
    <w:rsid w:val="00532FAE"/>
    <w:rsid w:val="00542B69"/>
    <w:rsid w:val="00560344"/>
    <w:rsid w:val="00564910"/>
    <w:rsid w:val="00586CDB"/>
    <w:rsid w:val="005F26FB"/>
    <w:rsid w:val="005F4B81"/>
    <w:rsid w:val="00617C4A"/>
    <w:rsid w:val="006721B1"/>
    <w:rsid w:val="00677E86"/>
    <w:rsid w:val="006F6384"/>
    <w:rsid w:val="007437BC"/>
    <w:rsid w:val="00794172"/>
    <w:rsid w:val="00800067"/>
    <w:rsid w:val="00813E46"/>
    <w:rsid w:val="00892FDE"/>
    <w:rsid w:val="008B5411"/>
    <w:rsid w:val="008E41C2"/>
    <w:rsid w:val="009C1CFD"/>
    <w:rsid w:val="009C3639"/>
    <w:rsid w:val="00A17F36"/>
    <w:rsid w:val="00B6550A"/>
    <w:rsid w:val="00BA1861"/>
    <w:rsid w:val="00BD67CB"/>
    <w:rsid w:val="00C13205"/>
    <w:rsid w:val="00C37ED5"/>
    <w:rsid w:val="00C4395B"/>
    <w:rsid w:val="00C95B1B"/>
    <w:rsid w:val="00CD2CD3"/>
    <w:rsid w:val="00D85BCA"/>
    <w:rsid w:val="00DF7900"/>
    <w:rsid w:val="00E12F5B"/>
    <w:rsid w:val="00E2715F"/>
    <w:rsid w:val="00E40B25"/>
    <w:rsid w:val="00E430FD"/>
    <w:rsid w:val="00F22E3D"/>
    <w:rsid w:val="00F40DE5"/>
    <w:rsid w:val="00F86CC8"/>
    <w:rsid w:val="00FA44A3"/>
    <w:rsid w:val="00FA521B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709A"/>
  <w15:chartTrackingRefBased/>
  <w15:docId w15:val="{8B09B73F-FC87-4779-BAFC-3BD7D8D5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7C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7C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307C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A4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4A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4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4A3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A4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A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A3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A3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617C4A"/>
    <w:pPr>
      <w:spacing w:after="0" w:line="240" w:lineRule="auto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BD67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Southern Education Group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Howard</dc:creator>
  <cp:keywords/>
  <dc:description/>
  <cp:lastModifiedBy>Tom Rop</cp:lastModifiedBy>
  <cp:revision>7</cp:revision>
  <dcterms:created xsi:type="dcterms:W3CDTF">2020-07-01T20:11:00Z</dcterms:created>
  <dcterms:modified xsi:type="dcterms:W3CDTF">2021-03-09T08:10:00Z</dcterms:modified>
</cp:coreProperties>
</file>